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8A" w:rsidRPr="008831A2" w:rsidRDefault="00907F8A" w:rsidP="00907F8A">
      <w:pPr>
        <w:tabs>
          <w:tab w:val="left" w:pos="2410"/>
          <w:tab w:val="left" w:pos="6660"/>
        </w:tabs>
        <w:adjustRightInd w:val="0"/>
        <w:snapToGrid w:val="0"/>
        <w:spacing w:line="600" w:lineRule="exact"/>
        <w:jc w:val="left"/>
        <w:rPr>
          <w:rFonts w:ascii="黑体" w:eastAsia="黑体" w:hAnsi="宋体" w:hint="eastAsia"/>
          <w:sz w:val="28"/>
          <w:szCs w:val="28"/>
        </w:rPr>
      </w:pPr>
      <w:r w:rsidRPr="008831A2">
        <w:rPr>
          <w:rFonts w:ascii="黑体" w:eastAsia="黑体" w:hAnsi="宋体" w:hint="eastAsia"/>
          <w:sz w:val="28"/>
          <w:szCs w:val="28"/>
        </w:rPr>
        <w:t>附件二</w:t>
      </w:r>
    </w:p>
    <w:p w:rsidR="00907F8A" w:rsidRPr="00E5306A" w:rsidRDefault="00907F8A" w:rsidP="00907F8A">
      <w:pPr>
        <w:tabs>
          <w:tab w:val="left" w:pos="2410"/>
          <w:tab w:val="left" w:pos="6660"/>
        </w:tabs>
        <w:adjustRightInd w:val="0"/>
        <w:snapToGrid w:val="0"/>
        <w:spacing w:line="600" w:lineRule="exact"/>
        <w:jc w:val="center"/>
        <w:rPr>
          <w:rFonts w:ascii="黑体" w:eastAsia="黑体"/>
          <w:b/>
          <w:sz w:val="36"/>
          <w:szCs w:val="36"/>
        </w:rPr>
      </w:pPr>
      <w:r w:rsidRPr="00E5306A">
        <w:rPr>
          <w:rFonts w:ascii="黑体" w:eastAsia="黑体" w:hint="eastAsia"/>
          <w:b/>
          <w:sz w:val="36"/>
          <w:szCs w:val="36"/>
        </w:rPr>
        <w:t>中国医学科学院药用植物研究所海南分所</w:t>
      </w:r>
    </w:p>
    <w:p w:rsidR="00907F8A" w:rsidRPr="00E5306A" w:rsidRDefault="00907F8A" w:rsidP="00907F8A">
      <w:pPr>
        <w:tabs>
          <w:tab w:val="left" w:pos="2410"/>
          <w:tab w:val="left" w:pos="6660"/>
        </w:tabs>
        <w:adjustRightInd w:val="0"/>
        <w:snapToGrid w:val="0"/>
        <w:spacing w:line="600" w:lineRule="exact"/>
        <w:jc w:val="center"/>
        <w:rPr>
          <w:rFonts w:ascii="黑体" w:eastAsia="黑体" w:hAnsi="Calibri"/>
          <w:b/>
          <w:sz w:val="36"/>
          <w:szCs w:val="36"/>
        </w:rPr>
      </w:pPr>
      <w:r w:rsidRPr="00E5306A">
        <w:rPr>
          <w:rFonts w:ascii="黑体" w:eastAsia="黑体" w:hint="eastAsia"/>
          <w:b/>
          <w:sz w:val="36"/>
          <w:szCs w:val="36"/>
        </w:rPr>
        <w:t>知识</w:t>
      </w:r>
      <w:bookmarkStart w:id="0" w:name="_GoBack"/>
      <w:bookmarkEnd w:id="0"/>
      <w:r w:rsidRPr="00E5306A">
        <w:rPr>
          <w:rFonts w:ascii="黑体" w:eastAsia="黑体" w:hint="eastAsia"/>
          <w:b/>
          <w:sz w:val="36"/>
          <w:szCs w:val="36"/>
        </w:rPr>
        <w:t>产权保护协议书</w:t>
      </w:r>
    </w:p>
    <w:p w:rsidR="00907F8A" w:rsidRPr="007868DF" w:rsidRDefault="00907F8A" w:rsidP="00907F8A">
      <w:pPr>
        <w:tabs>
          <w:tab w:val="left" w:pos="6660"/>
        </w:tabs>
        <w:adjustRightInd w:val="0"/>
        <w:snapToGrid w:val="0"/>
        <w:spacing w:beforeLines="50" w:line="320" w:lineRule="exact"/>
        <w:rPr>
          <w:rFonts w:ascii="仿宋_GB2312" w:eastAsia="仿宋_GB2312" w:hAnsi="宋体" w:hint="eastAsia"/>
          <w:sz w:val="28"/>
          <w:szCs w:val="28"/>
        </w:rPr>
      </w:pPr>
      <w:r w:rsidRPr="007868DF">
        <w:rPr>
          <w:rFonts w:ascii="仿宋_GB2312" w:eastAsia="仿宋_GB2312" w:hAnsi="宋体" w:hint="eastAsia"/>
          <w:sz w:val="28"/>
          <w:szCs w:val="28"/>
        </w:rPr>
        <w:t>甲方：中国医学科学院药用植物研究所海南分所</w:t>
      </w:r>
    </w:p>
    <w:p w:rsidR="00907F8A" w:rsidRPr="007868DF" w:rsidRDefault="00907F8A" w:rsidP="00907F8A">
      <w:pPr>
        <w:tabs>
          <w:tab w:val="left" w:pos="6660"/>
        </w:tabs>
        <w:adjustRightInd w:val="0"/>
        <w:snapToGrid w:val="0"/>
        <w:spacing w:line="480" w:lineRule="exact"/>
        <w:rPr>
          <w:rFonts w:ascii="仿宋_GB2312" w:eastAsia="仿宋_GB2312" w:hAnsi="宋体" w:hint="eastAsia"/>
          <w:sz w:val="28"/>
          <w:szCs w:val="28"/>
        </w:rPr>
      </w:pPr>
    </w:p>
    <w:p w:rsidR="00907F8A" w:rsidRPr="007868DF" w:rsidRDefault="00907F8A" w:rsidP="00907F8A">
      <w:pPr>
        <w:tabs>
          <w:tab w:val="left" w:pos="666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乙方：</w:t>
      </w:r>
    </w:p>
    <w:p w:rsidR="00907F8A" w:rsidRPr="007868DF" w:rsidRDefault="00907F8A" w:rsidP="00907F8A">
      <w:pPr>
        <w:tabs>
          <w:tab w:val="left" w:pos="6660"/>
        </w:tabs>
        <w:adjustRightInd w:val="0"/>
        <w:snapToGrid w:val="0"/>
        <w:spacing w:line="480" w:lineRule="exact"/>
        <w:rPr>
          <w:rFonts w:ascii="仿宋_GB2312" w:eastAsia="仿宋_GB2312" w:hAnsi="宋体" w:hint="eastAsia"/>
          <w:sz w:val="28"/>
          <w:szCs w:val="28"/>
        </w:rPr>
      </w:pPr>
    </w:p>
    <w:p w:rsidR="00907F8A" w:rsidRPr="007868DF" w:rsidRDefault="00907F8A" w:rsidP="00907F8A">
      <w:pPr>
        <w:tabs>
          <w:tab w:val="left" w:pos="6660"/>
        </w:tabs>
        <w:adjustRightInd w:val="0"/>
        <w:snapToGrid w:val="0"/>
        <w:spacing w:line="480" w:lineRule="exact"/>
        <w:ind w:firstLineChars="200" w:firstLine="560"/>
        <w:rPr>
          <w:rFonts w:ascii="仿宋_GB2312" w:eastAsia="仿宋_GB2312" w:hAnsi="宋体" w:hint="eastAsia"/>
          <w:sz w:val="28"/>
          <w:szCs w:val="28"/>
        </w:rPr>
      </w:pPr>
      <w:r w:rsidRPr="007868DF">
        <w:rPr>
          <w:rFonts w:ascii="仿宋_GB2312" w:eastAsia="仿宋_GB2312" w:hAnsi="宋体" w:hint="eastAsia"/>
          <w:sz w:val="28"/>
          <w:szCs w:val="28"/>
        </w:rPr>
        <w:t>鉴于公平合理、平等自愿、诚实守信之原则，根据《中华人民共和国著作权法》、《中华人民共和国专利法》等相关法律、法规的规定，就知识产权的保护事宜甲乙双方一致同意遵守如下条款：</w:t>
      </w:r>
    </w:p>
    <w:p w:rsidR="00907F8A" w:rsidRPr="007868DF" w:rsidRDefault="00907F8A" w:rsidP="00907F8A">
      <w:pPr>
        <w:numPr>
          <w:ilvl w:val="0"/>
          <w:numId w:val="1"/>
        </w:numPr>
        <w:tabs>
          <w:tab w:val="left" w:pos="540"/>
        </w:tabs>
        <w:adjustRightInd w:val="0"/>
        <w:snapToGrid w:val="0"/>
        <w:spacing w:beforeLines="50" w:afterLines="50" w:line="480" w:lineRule="exact"/>
        <w:ind w:left="284" w:hanging="284"/>
        <w:rPr>
          <w:rFonts w:ascii="仿宋_GB2312" w:eastAsia="仿宋_GB2312" w:hAnsi="宋体" w:hint="eastAsia"/>
          <w:b/>
          <w:sz w:val="28"/>
          <w:szCs w:val="28"/>
        </w:rPr>
      </w:pPr>
      <w:r w:rsidRPr="007868DF">
        <w:rPr>
          <w:rFonts w:ascii="仿宋_GB2312" w:eastAsia="仿宋_GB2312" w:hAnsi="宋体" w:hint="eastAsia"/>
          <w:b/>
          <w:sz w:val="28"/>
          <w:szCs w:val="28"/>
        </w:rPr>
        <w:t>知识产权保护的范围</w:t>
      </w:r>
    </w:p>
    <w:p w:rsidR="00907F8A" w:rsidRPr="007868DF" w:rsidRDefault="00907F8A" w:rsidP="00907F8A">
      <w:pPr>
        <w:numPr>
          <w:ilvl w:val="1"/>
          <w:numId w:val="1"/>
        </w:numPr>
        <w:tabs>
          <w:tab w:val="left" w:pos="90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本协议书所述之知识产权，是指包括属于甲方的科研成果/产品/论文和不对外公开的技术资料，或是乙方利用甲方之物质条件完成特定项目而取得的科研成果/产品/论文；</w:t>
      </w:r>
    </w:p>
    <w:p w:rsidR="00907F8A" w:rsidRPr="007868DF" w:rsidRDefault="00907F8A" w:rsidP="00907F8A">
      <w:pPr>
        <w:numPr>
          <w:ilvl w:val="1"/>
          <w:numId w:val="1"/>
        </w:numPr>
        <w:tabs>
          <w:tab w:val="left" w:pos="90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本协议书所述之物质条件，是指资金、仪器设备、原材料或者不对外公开的技术资料；</w:t>
      </w:r>
    </w:p>
    <w:p w:rsidR="00907F8A" w:rsidRPr="007868DF" w:rsidRDefault="00907F8A" w:rsidP="00907F8A">
      <w:pPr>
        <w:numPr>
          <w:ilvl w:val="0"/>
          <w:numId w:val="1"/>
        </w:numPr>
        <w:tabs>
          <w:tab w:val="left" w:pos="540"/>
        </w:tabs>
        <w:adjustRightInd w:val="0"/>
        <w:snapToGrid w:val="0"/>
        <w:spacing w:beforeLines="50" w:afterLines="50" w:line="480" w:lineRule="exact"/>
        <w:ind w:left="284" w:hanging="284"/>
        <w:rPr>
          <w:rFonts w:ascii="仿宋_GB2312" w:eastAsia="仿宋_GB2312" w:hAnsi="宋体" w:hint="eastAsia"/>
          <w:b/>
          <w:sz w:val="28"/>
          <w:szCs w:val="28"/>
        </w:rPr>
      </w:pPr>
      <w:r w:rsidRPr="007868DF">
        <w:rPr>
          <w:rFonts w:ascii="仿宋_GB2312" w:eastAsia="仿宋_GB2312" w:hAnsi="宋体" w:hint="eastAsia"/>
          <w:b/>
          <w:sz w:val="28"/>
          <w:szCs w:val="28"/>
        </w:rPr>
        <w:t>双方的权利与义务</w:t>
      </w:r>
    </w:p>
    <w:p w:rsidR="00907F8A" w:rsidRPr="007868DF" w:rsidRDefault="00907F8A" w:rsidP="00907F8A">
      <w:pPr>
        <w:numPr>
          <w:ilvl w:val="1"/>
          <w:numId w:val="1"/>
        </w:numPr>
        <w:tabs>
          <w:tab w:val="left" w:pos="108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属于甲方的知识产权，未经甲方书面授权同意，乙方不得擅自使用、转让或获取报酬；</w:t>
      </w:r>
    </w:p>
    <w:p w:rsidR="00907F8A" w:rsidRPr="007868DF" w:rsidRDefault="00907F8A" w:rsidP="00907F8A">
      <w:pPr>
        <w:numPr>
          <w:ilvl w:val="1"/>
          <w:numId w:val="1"/>
        </w:numPr>
        <w:tabs>
          <w:tab w:val="left" w:pos="108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乙方利用甲方的物质条件参加科学研究工作所完成的研究成果，其知识产权、研究成果均属于甲方所有，未经甲方许可，乙方不得擅自转让、使用成果；</w:t>
      </w:r>
    </w:p>
    <w:p w:rsidR="00907F8A" w:rsidRPr="007868DF" w:rsidRDefault="00907F8A" w:rsidP="00907F8A">
      <w:pPr>
        <w:numPr>
          <w:ilvl w:val="1"/>
          <w:numId w:val="1"/>
        </w:numPr>
        <w:tabs>
          <w:tab w:val="left" w:pos="108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乙方应尽职责保证上述物品不为非甲方人员了解、取走、复制、公开、转让或使用。</w:t>
      </w:r>
    </w:p>
    <w:p w:rsidR="00907F8A" w:rsidRPr="007868DF" w:rsidRDefault="00907F8A" w:rsidP="00907F8A">
      <w:pPr>
        <w:numPr>
          <w:ilvl w:val="1"/>
          <w:numId w:val="1"/>
        </w:numPr>
        <w:tabs>
          <w:tab w:val="left" w:pos="108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本协议“2.1”、“2.2” 、“2.3”条款内容同样适用于乙方离开甲方后仍然用其在甲方期间所掌握的知识产权。</w:t>
      </w:r>
    </w:p>
    <w:p w:rsidR="00907F8A" w:rsidRPr="007868DF" w:rsidRDefault="00907F8A" w:rsidP="00907F8A">
      <w:pPr>
        <w:numPr>
          <w:ilvl w:val="1"/>
          <w:numId w:val="1"/>
        </w:numPr>
        <w:tabs>
          <w:tab w:val="left" w:pos="108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甲方保障乙方获得其在参加甲方科学研究工作所完成的研究</w:t>
      </w:r>
      <w:r w:rsidRPr="007868DF">
        <w:rPr>
          <w:rFonts w:ascii="仿宋_GB2312" w:eastAsia="仿宋_GB2312" w:hAnsi="宋体" w:hint="eastAsia"/>
          <w:sz w:val="28"/>
          <w:szCs w:val="28"/>
        </w:rPr>
        <w:lastRenderedPageBreak/>
        <w:t>成果中具有与其贡献相当的署名权，但</w:t>
      </w:r>
      <w:r>
        <w:rPr>
          <w:rFonts w:ascii="仿宋_GB2312" w:eastAsia="仿宋_GB2312" w:hAnsi="宋体" w:hint="eastAsia"/>
          <w:sz w:val="28"/>
          <w:szCs w:val="28"/>
        </w:rPr>
        <w:t>在甲方未明确赋予乙方研究成果的使用权时，</w:t>
      </w:r>
      <w:r w:rsidRPr="007868DF">
        <w:rPr>
          <w:rFonts w:ascii="仿宋_GB2312" w:eastAsia="仿宋_GB2312" w:hAnsi="宋体" w:hint="eastAsia"/>
          <w:sz w:val="28"/>
          <w:szCs w:val="28"/>
        </w:rPr>
        <w:t>乙方</w:t>
      </w:r>
      <w:r>
        <w:rPr>
          <w:rFonts w:ascii="仿宋_GB2312" w:eastAsia="仿宋_GB2312" w:hAnsi="宋体" w:hint="eastAsia"/>
          <w:sz w:val="28"/>
          <w:szCs w:val="28"/>
        </w:rPr>
        <w:t>不得私自使用</w:t>
      </w:r>
      <w:r w:rsidRPr="007868DF">
        <w:rPr>
          <w:rFonts w:ascii="仿宋_GB2312" w:eastAsia="仿宋_GB2312" w:hAnsi="宋体" w:hint="eastAsia"/>
          <w:sz w:val="28"/>
          <w:szCs w:val="28"/>
        </w:rPr>
        <w:t>；</w:t>
      </w:r>
    </w:p>
    <w:p w:rsidR="00907F8A" w:rsidRPr="007868DF" w:rsidRDefault="00907F8A" w:rsidP="00907F8A">
      <w:pPr>
        <w:numPr>
          <w:ilvl w:val="1"/>
          <w:numId w:val="1"/>
        </w:numPr>
        <w:tabs>
          <w:tab w:val="left" w:pos="126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当乙方直接参与或主持的科研成果成功转化后，甲方有义务保障乙方获得与其工作贡献相当的经济利益；</w:t>
      </w:r>
    </w:p>
    <w:p w:rsidR="00907F8A" w:rsidRPr="007868DF" w:rsidRDefault="00907F8A" w:rsidP="00907F8A">
      <w:pPr>
        <w:numPr>
          <w:ilvl w:val="1"/>
          <w:numId w:val="1"/>
        </w:numPr>
        <w:tabs>
          <w:tab w:val="left" w:pos="126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乙方在出色地完成了特定的科研任务以及遵守履行了本协议书后，乙方可以获得与其贡献相当的利益；</w:t>
      </w:r>
    </w:p>
    <w:p w:rsidR="00907F8A" w:rsidRPr="007868DF" w:rsidRDefault="00907F8A" w:rsidP="00907F8A">
      <w:pPr>
        <w:numPr>
          <w:ilvl w:val="0"/>
          <w:numId w:val="1"/>
        </w:numPr>
        <w:adjustRightInd w:val="0"/>
        <w:snapToGrid w:val="0"/>
        <w:spacing w:beforeLines="50" w:afterLines="50" w:line="480" w:lineRule="exact"/>
        <w:ind w:left="284" w:hanging="284"/>
        <w:rPr>
          <w:rFonts w:ascii="仿宋_GB2312" w:eastAsia="仿宋_GB2312" w:hAnsi="宋体" w:hint="eastAsia"/>
          <w:b/>
          <w:sz w:val="28"/>
          <w:szCs w:val="28"/>
        </w:rPr>
      </w:pPr>
      <w:r w:rsidRPr="007868DF">
        <w:rPr>
          <w:rFonts w:ascii="仿宋_GB2312" w:eastAsia="仿宋_GB2312" w:hAnsi="宋体" w:hint="eastAsia"/>
          <w:b/>
          <w:sz w:val="28"/>
          <w:szCs w:val="28"/>
        </w:rPr>
        <w:t>违约责任</w:t>
      </w:r>
    </w:p>
    <w:p w:rsidR="00907F8A" w:rsidRPr="007868DF" w:rsidRDefault="00907F8A" w:rsidP="00907F8A">
      <w:pPr>
        <w:tabs>
          <w:tab w:val="left" w:pos="6660"/>
        </w:tabs>
        <w:adjustRightInd w:val="0"/>
        <w:snapToGrid w:val="0"/>
        <w:spacing w:line="480" w:lineRule="exact"/>
        <w:ind w:firstLineChars="200" w:firstLine="560"/>
        <w:rPr>
          <w:rFonts w:ascii="仿宋_GB2312" w:eastAsia="仿宋_GB2312" w:hAnsi="宋体" w:hint="eastAsia"/>
          <w:sz w:val="28"/>
          <w:szCs w:val="28"/>
        </w:rPr>
      </w:pPr>
      <w:r w:rsidRPr="007868DF">
        <w:rPr>
          <w:rFonts w:ascii="仿宋_GB2312" w:eastAsia="仿宋_GB2312" w:hAnsi="宋体" w:hint="eastAsia"/>
          <w:sz w:val="28"/>
          <w:szCs w:val="28"/>
        </w:rPr>
        <w:t>违约方应承担由此给对方造成的经济损失，以及预期可确定的利益和为此支付的律师费、评估费、差旅费等相关费用；</w:t>
      </w:r>
    </w:p>
    <w:p w:rsidR="00907F8A" w:rsidRPr="007868DF" w:rsidRDefault="00907F8A" w:rsidP="00907F8A">
      <w:pPr>
        <w:numPr>
          <w:ilvl w:val="0"/>
          <w:numId w:val="1"/>
        </w:numPr>
        <w:tabs>
          <w:tab w:val="left" w:pos="900"/>
        </w:tabs>
        <w:adjustRightInd w:val="0"/>
        <w:snapToGrid w:val="0"/>
        <w:spacing w:beforeLines="50" w:afterLines="50" w:line="480" w:lineRule="exact"/>
        <w:ind w:left="284" w:hanging="284"/>
        <w:rPr>
          <w:rFonts w:ascii="仿宋_GB2312" w:eastAsia="仿宋_GB2312" w:hAnsi="宋体" w:hint="eastAsia"/>
          <w:b/>
          <w:sz w:val="28"/>
          <w:szCs w:val="28"/>
        </w:rPr>
      </w:pPr>
      <w:r w:rsidRPr="007868DF">
        <w:rPr>
          <w:rFonts w:ascii="仿宋_GB2312" w:eastAsia="仿宋_GB2312" w:hAnsi="宋体" w:hint="eastAsia"/>
          <w:sz w:val="28"/>
          <w:szCs w:val="28"/>
        </w:rPr>
        <w:t>本协议相关条款内容也适用于在甲方实验室进修、借用实验室或仪器设备，或用其它因甲方创造了条件有机会接触到甲方相关知识产权的人员</w:t>
      </w:r>
      <w:r w:rsidRPr="007868DF">
        <w:rPr>
          <w:rFonts w:ascii="仿宋_GB2312" w:eastAsia="仿宋_GB2312" w:hAnsi="宋体" w:hint="eastAsia"/>
          <w:b/>
          <w:sz w:val="28"/>
          <w:szCs w:val="28"/>
        </w:rPr>
        <w:t>。</w:t>
      </w:r>
    </w:p>
    <w:p w:rsidR="00907F8A" w:rsidRPr="007868DF" w:rsidRDefault="00907F8A" w:rsidP="00907F8A">
      <w:pPr>
        <w:numPr>
          <w:ilvl w:val="0"/>
          <w:numId w:val="1"/>
        </w:numPr>
        <w:tabs>
          <w:tab w:val="left" w:pos="900"/>
        </w:tabs>
        <w:adjustRightInd w:val="0"/>
        <w:snapToGrid w:val="0"/>
        <w:spacing w:afterLines="50" w:line="480" w:lineRule="exact"/>
        <w:ind w:left="284" w:hanging="284"/>
        <w:rPr>
          <w:rFonts w:ascii="仿宋_GB2312" w:eastAsia="仿宋_GB2312" w:hAnsi="宋体" w:hint="eastAsia"/>
          <w:b/>
          <w:sz w:val="28"/>
          <w:szCs w:val="28"/>
        </w:rPr>
      </w:pPr>
      <w:r w:rsidRPr="007868DF">
        <w:rPr>
          <w:rFonts w:ascii="仿宋_GB2312" w:eastAsia="仿宋_GB2312" w:hAnsi="宋体" w:hint="eastAsia"/>
          <w:b/>
          <w:sz w:val="28"/>
          <w:szCs w:val="28"/>
        </w:rPr>
        <w:t>其他</w:t>
      </w:r>
    </w:p>
    <w:p w:rsidR="00907F8A" w:rsidRPr="007868DF" w:rsidRDefault="00907F8A" w:rsidP="00907F8A">
      <w:pPr>
        <w:numPr>
          <w:ilvl w:val="1"/>
          <w:numId w:val="1"/>
        </w:numPr>
        <w:tabs>
          <w:tab w:val="left" w:pos="126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甲乙双方发生争议，应友好协商解决；协商不成，可向海南省仲裁委员会申请仲裁；</w:t>
      </w:r>
    </w:p>
    <w:p w:rsidR="00907F8A" w:rsidRPr="007868DF" w:rsidRDefault="00907F8A" w:rsidP="00907F8A">
      <w:pPr>
        <w:numPr>
          <w:ilvl w:val="1"/>
          <w:numId w:val="1"/>
        </w:numPr>
        <w:tabs>
          <w:tab w:val="left" w:pos="126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本协议书未尽事宜，由甲乙双方另行协商解决；</w:t>
      </w:r>
    </w:p>
    <w:p w:rsidR="00907F8A" w:rsidRPr="007868DF" w:rsidRDefault="00907F8A" w:rsidP="00907F8A">
      <w:pPr>
        <w:numPr>
          <w:ilvl w:val="1"/>
          <w:numId w:val="1"/>
        </w:numPr>
        <w:tabs>
          <w:tab w:val="left" w:pos="1260"/>
        </w:tabs>
        <w:adjustRightInd w:val="0"/>
        <w:snapToGrid w:val="0"/>
        <w:spacing w:line="480" w:lineRule="exact"/>
        <w:rPr>
          <w:rFonts w:ascii="仿宋_GB2312" w:eastAsia="仿宋_GB2312" w:hAnsi="宋体" w:hint="eastAsia"/>
          <w:sz w:val="28"/>
          <w:szCs w:val="28"/>
        </w:rPr>
      </w:pPr>
      <w:r w:rsidRPr="007868DF">
        <w:rPr>
          <w:rFonts w:ascii="仿宋_GB2312" w:eastAsia="仿宋_GB2312" w:hAnsi="宋体" w:hint="eastAsia"/>
          <w:sz w:val="28"/>
          <w:szCs w:val="28"/>
        </w:rPr>
        <w:t>本协议书生效日期20</w:t>
      </w:r>
      <w:r w:rsidRPr="007868DF">
        <w:rPr>
          <w:rFonts w:ascii="仿宋_GB2312" w:eastAsia="仿宋_GB2312" w:hAnsi="宋体" w:hint="eastAsia"/>
          <w:sz w:val="28"/>
          <w:szCs w:val="28"/>
          <w:u w:val="single"/>
        </w:rPr>
        <w:t xml:space="preserve">   </w:t>
      </w:r>
      <w:r w:rsidRPr="007868DF">
        <w:rPr>
          <w:rFonts w:ascii="仿宋_GB2312" w:eastAsia="仿宋_GB2312" w:hAnsi="宋体" w:hint="eastAsia"/>
          <w:sz w:val="28"/>
          <w:szCs w:val="28"/>
        </w:rPr>
        <w:t>年</w:t>
      </w:r>
      <w:r w:rsidRPr="007868DF">
        <w:rPr>
          <w:rFonts w:ascii="仿宋_GB2312" w:eastAsia="仿宋_GB2312" w:hAnsi="宋体" w:hint="eastAsia"/>
          <w:sz w:val="28"/>
          <w:szCs w:val="28"/>
          <w:u w:val="single"/>
        </w:rPr>
        <w:t xml:space="preserve">   </w:t>
      </w:r>
      <w:r w:rsidRPr="007868DF">
        <w:rPr>
          <w:rFonts w:ascii="仿宋_GB2312" w:eastAsia="仿宋_GB2312" w:hAnsi="宋体" w:hint="eastAsia"/>
          <w:sz w:val="28"/>
          <w:szCs w:val="28"/>
        </w:rPr>
        <w:t>月</w:t>
      </w:r>
      <w:r w:rsidRPr="007868DF">
        <w:rPr>
          <w:rFonts w:ascii="仿宋_GB2312" w:eastAsia="仿宋_GB2312" w:hAnsi="宋体" w:hint="eastAsia"/>
          <w:sz w:val="28"/>
          <w:szCs w:val="28"/>
          <w:u w:val="single"/>
        </w:rPr>
        <w:t xml:space="preserve">   </w:t>
      </w:r>
      <w:r w:rsidRPr="007868DF">
        <w:rPr>
          <w:rFonts w:ascii="仿宋_GB2312" w:eastAsia="仿宋_GB2312" w:hAnsi="宋体" w:hint="eastAsia"/>
          <w:sz w:val="28"/>
          <w:szCs w:val="28"/>
        </w:rPr>
        <w:t>日起；</w:t>
      </w:r>
    </w:p>
    <w:p w:rsidR="00907F8A" w:rsidRPr="007868DF" w:rsidRDefault="00907F8A" w:rsidP="00907F8A">
      <w:pPr>
        <w:tabs>
          <w:tab w:val="left" w:pos="6660"/>
        </w:tabs>
        <w:adjustRightInd w:val="0"/>
        <w:snapToGrid w:val="0"/>
        <w:spacing w:afterLines="100" w:line="480" w:lineRule="exact"/>
        <w:rPr>
          <w:rFonts w:ascii="仿宋_GB2312" w:eastAsia="仿宋_GB2312" w:hAnsi="宋体" w:hint="eastAsia"/>
          <w:sz w:val="28"/>
          <w:szCs w:val="28"/>
        </w:rPr>
      </w:pPr>
    </w:p>
    <w:p w:rsidR="00907F8A" w:rsidRPr="007868DF" w:rsidRDefault="00907F8A" w:rsidP="00907F8A">
      <w:pPr>
        <w:tabs>
          <w:tab w:val="left" w:pos="6660"/>
        </w:tabs>
        <w:adjustRightInd w:val="0"/>
        <w:snapToGrid w:val="0"/>
        <w:spacing w:line="320" w:lineRule="exact"/>
        <w:rPr>
          <w:rFonts w:ascii="仿宋_GB2312" w:eastAsia="仿宋_GB2312" w:hAnsi="宋体" w:hint="eastAsia"/>
          <w:sz w:val="28"/>
          <w:szCs w:val="28"/>
        </w:rPr>
      </w:pPr>
      <w:r w:rsidRPr="007868DF">
        <w:rPr>
          <w:rFonts w:ascii="仿宋_GB2312" w:eastAsia="仿宋_GB2312" w:hAnsi="宋体" w:hint="eastAsia"/>
          <w:sz w:val="28"/>
          <w:szCs w:val="28"/>
        </w:rPr>
        <w:t>甲    方（盖章）：中国医学科学院药用植物研究所海南分所</w:t>
      </w:r>
    </w:p>
    <w:p w:rsidR="00907F8A" w:rsidRPr="007868DF" w:rsidRDefault="00907F8A" w:rsidP="00907F8A">
      <w:pPr>
        <w:tabs>
          <w:tab w:val="left" w:pos="6660"/>
        </w:tabs>
        <w:adjustRightInd w:val="0"/>
        <w:snapToGrid w:val="0"/>
        <w:spacing w:line="440" w:lineRule="exact"/>
        <w:rPr>
          <w:rFonts w:ascii="仿宋_GB2312" w:eastAsia="仿宋_GB2312" w:hAnsi="宋体" w:hint="eastAsia"/>
          <w:sz w:val="28"/>
          <w:szCs w:val="28"/>
        </w:rPr>
      </w:pPr>
    </w:p>
    <w:p w:rsidR="00907F8A" w:rsidRPr="007868DF" w:rsidRDefault="00907F8A" w:rsidP="00907F8A">
      <w:pPr>
        <w:tabs>
          <w:tab w:val="left" w:pos="6660"/>
        </w:tabs>
        <w:adjustRightInd w:val="0"/>
        <w:snapToGrid w:val="0"/>
        <w:spacing w:line="440" w:lineRule="exact"/>
        <w:rPr>
          <w:rFonts w:ascii="仿宋_GB2312" w:eastAsia="仿宋_GB2312" w:hAnsi="宋体" w:hint="eastAsia"/>
          <w:sz w:val="28"/>
          <w:szCs w:val="28"/>
        </w:rPr>
      </w:pPr>
      <w:r w:rsidRPr="007868DF">
        <w:rPr>
          <w:rFonts w:ascii="仿宋_GB2312" w:eastAsia="仿宋_GB2312" w:hAnsi="宋体" w:hint="eastAsia"/>
          <w:sz w:val="28"/>
          <w:szCs w:val="28"/>
        </w:rPr>
        <w:t>乙方签字：</w:t>
      </w:r>
    </w:p>
    <w:p w:rsidR="00907F8A" w:rsidRPr="007868DF" w:rsidRDefault="00907F8A" w:rsidP="00907F8A">
      <w:pPr>
        <w:spacing w:line="440" w:lineRule="exact"/>
        <w:rPr>
          <w:rFonts w:ascii="仿宋_GB2312" w:eastAsia="仿宋_GB2312" w:hAnsi="宋体" w:hint="eastAsia"/>
          <w:sz w:val="28"/>
          <w:szCs w:val="28"/>
        </w:rPr>
      </w:pPr>
    </w:p>
    <w:p w:rsidR="00907F8A" w:rsidRPr="007868DF" w:rsidRDefault="00907F8A" w:rsidP="00907F8A">
      <w:pPr>
        <w:spacing w:line="440" w:lineRule="exact"/>
        <w:rPr>
          <w:rFonts w:ascii="仿宋_GB2312" w:eastAsia="仿宋_GB2312" w:hint="eastAsia"/>
          <w:sz w:val="28"/>
          <w:szCs w:val="28"/>
        </w:rPr>
      </w:pPr>
      <w:r w:rsidRPr="007868DF">
        <w:rPr>
          <w:rFonts w:ascii="仿宋_GB2312" w:eastAsia="仿宋_GB2312" w:hAnsi="宋体" w:hint="eastAsia"/>
          <w:sz w:val="28"/>
          <w:szCs w:val="28"/>
        </w:rPr>
        <w:t>日    期：      年     月    日</w:t>
      </w:r>
    </w:p>
    <w:p w:rsidR="00907F8A" w:rsidRPr="007868DF" w:rsidRDefault="00907F8A" w:rsidP="00907F8A">
      <w:pPr>
        <w:jc w:val="left"/>
        <w:rPr>
          <w:rFonts w:ascii="仿宋_GB2312" w:eastAsia="仿宋_GB2312" w:hint="eastAsia"/>
          <w:sz w:val="28"/>
          <w:szCs w:val="28"/>
        </w:rPr>
      </w:pPr>
    </w:p>
    <w:p w:rsidR="00907F8A" w:rsidRDefault="00907F8A" w:rsidP="00907F8A">
      <w:pPr>
        <w:spacing w:line="460" w:lineRule="exact"/>
        <w:jc w:val="left"/>
        <w:rPr>
          <w:rFonts w:ascii="仿宋_GB2312" w:eastAsia="仿宋_GB2312" w:hint="eastAsia"/>
          <w:sz w:val="28"/>
          <w:szCs w:val="28"/>
        </w:rPr>
      </w:pPr>
    </w:p>
    <w:p w:rsidR="00907F8A" w:rsidRDefault="00907F8A" w:rsidP="00907F8A">
      <w:pPr>
        <w:spacing w:line="460" w:lineRule="exact"/>
        <w:jc w:val="left"/>
        <w:rPr>
          <w:rFonts w:ascii="仿宋_GB2312" w:eastAsia="仿宋_GB2312" w:hint="eastAsia"/>
          <w:sz w:val="28"/>
          <w:szCs w:val="28"/>
        </w:rPr>
      </w:pPr>
    </w:p>
    <w:p w:rsidR="000D3712" w:rsidRDefault="000D3712"/>
    <w:sectPr w:rsidR="000D37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A37A3"/>
    <w:multiLevelType w:val="multilevel"/>
    <w:tmpl w:val="13A85BBC"/>
    <w:lvl w:ilvl="0">
      <w:start w:val="1"/>
      <w:numFmt w:val="decimal"/>
      <w:lvlText w:val="%1."/>
      <w:lvlJc w:val="left"/>
      <w:pPr>
        <w:tabs>
          <w:tab w:val="num" w:pos="285"/>
        </w:tabs>
        <w:ind w:left="285" w:hanging="285"/>
      </w:pPr>
      <w:rPr>
        <w:rFonts w:hint="eastAsia"/>
      </w:rPr>
    </w:lvl>
    <w:lvl w:ilvl="1">
      <w:start w:val="1"/>
      <w:numFmt w:val="decimal"/>
      <w:isLgl/>
      <w:lvlText w:val="%1.%2"/>
      <w:lvlJc w:val="left"/>
      <w:pPr>
        <w:tabs>
          <w:tab w:val="num" w:pos="780"/>
        </w:tabs>
        <w:ind w:left="780" w:hanging="495"/>
      </w:pPr>
      <w:rPr>
        <w:rFonts w:hint="eastAsia"/>
      </w:rPr>
    </w:lvl>
    <w:lvl w:ilvl="2">
      <w:start w:val="1"/>
      <w:numFmt w:val="decimal"/>
      <w:isLgl/>
      <w:lvlText w:val="%1.%2.%3"/>
      <w:lvlJc w:val="left"/>
      <w:pPr>
        <w:tabs>
          <w:tab w:val="num" w:pos="1065"/>
        </w:tabs>
        <w:ind w:left="1065" w:hanging="495"/>
      </w:pPr>
      <w:rPr>
        <w:rFonts w:hint="eastAsia"/>
      </w:rPr>
    </w:lvl>
    <w:lvl w:ilvl="3">
      <w:start w:val="1"/>
      <w:numFmt w:val="decimal"/>
      <w:isLgl/>
      <w:lvlText w:val="%1.%2.%3.%4"/>
      <w:lvlJc w:val="left"/>
      <w:pPr>
        <w:tabs>
          <w:tab w:val="num" w:pos="1350"/>
        </w:tabs>
        <w:ind w:left="1350" w:hanging="495"/>
      </w:pPr>
      <w:rPr>
        <w:rFonts w:hint="eastAsia"/>
      </w:rPr>
    </w:lvl>
    <w:lvl w:ilvl="4">
      <w:start w:val="1"/>
      <w:numFmt w:val="decimal"/>
      <w:isLgl/>
      <w:lvlText w:val="%1.%2.%3.%4.%5"/>
      <w:lvlJc w:val="left"/>
      <w:pPr>
        <w:tabs>
          <w:tab w:val="num" w:pos="1635"/>
        </w:tabs>
        <w:ind w:left="1635" w:hanging="495"/>
      </w:pPr>
      <w:rPr>
        <w:rFonts w:hint="eastAsia"/>
      </w:rPr>
    </w:lvl>
    <w:lvl w:ilvl="5">
      <w:start w:val="1"/>
      <w:numFmt w:val="decimal"/>
      <w:isLgl/>
      <w:lvlText w:val="%1.%2.%3.%4.%5.%6"/>
      <w:lvlJc w:val="left"/>
      <w:pPr>
        <w:tabs>
          <w:tab w:val="num" w:pos="1920"/>
        </w:tabs>
        <w:ind w:left="1920" w:hanging="495"/>
      </w:pPr>
      <w:rPr>
        <w:rFonts w:hint="eastAsia"/>
      </w:rPr>
    </w:lvl>
    <w:lvl w:ilvl="6">
      <w:start w:val="1"/>
      <w:numFmt w:val="decimal"/>
      <w:isLgl/>
      <w:lvlText w:val="%1.%2.%3.%4.%5.%6.%7"/>
      <w:lvlJc w:val="left"/>
      <w:pPr>
        <w:tabs>
          <w:tab w:val="num" w:pos="2205"/>
        </w:tabs>
        <w:ind w:left="2205" w:hanging="495"/>
      </w:pPr>
      <w:rPr>
        <w:rFonts w:hint="eastAsia"/>
      </w:rPr>
    </w:lvl>
    <w:lvl w:ilvl="7">
      <w:start w:val="1"/>
      <w:numFmt w:val="decimal"/>
      <w:isLgl/>
      <w:lvlText w:val="%1.%2.%3.%4.%5.%6.%7.%8"/>
      <w:lvlJc w:val="left"/>
      <w:pPr>
        <w:tabs>
          <w:tab w:val="num" w:pos="2490"/>
        </w:tabs>
        <w:ind w:left="2490" w:hanging="495"/>
      </w:pPr>
      <w:rPr>
        <w:rFonts w:hint="eastAsia"/>
      </w:rPr>
    </w:lvl>
    <w:lvl w:ilvl="8">
      <w:start w:val="1"/>
      <w:numFmt w:val="decimal"/>
      <w:isLgl/>
      <w:lvlText w:val="%1.%2.%3.%4.%5.%6.%7.%8.%9"/>
      <w:lvlJc w:val="left"/>
      <w:pPr>
        <w:tabs>
          <w:tab w:val="num" w:pos="2775"/>
        </w:tabs>
        <w:ind w:left="2775" w:hanging="49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7F8A"/>
    <w:rsid w:val="000D3712"/>
    <w:rsid w:val="00907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BD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2016-04-18T03:18:00Z</dcterms:created>
  <dcterms:modified xsi:type="dcterms:W3CDTF">2016-04-18T03:18:00Z</dcterms:modified>
</cp:coreProperties>
</file>